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C6" w:rsidRDefault="00AD031A">
      <w:r>
        <w:t>Fellow Members,</w:t>
      </w:r>
    </w:p>
    <w:p w:rsidR="00353C59" w:rsidRDefault="00AD031A">
      <w:r>
        <w:t>On March 9</w:t>
      </w:r>
      <w:r w:rsidRPr="00AD031A">
        <w:rPr>
          <w:vertAlign w:val="superscript"/>
        </w:rPr>
        <w:t>th</w:t>
      </w:r>
      <w:r>
        <w:t xml:space="preserve">, 2017 the Board of Directors voted to increase water rates for the district. </w:t>
      </w:r>
      <w:r w:rsidR="005C051E">
        <w:t xml:space="preserve">This rate increase was not taken lightly and </w:t>
      </w:r>
      <w:r w:rsidR="00554AAA">
        <w:t>followed</w:t>
      </w:r>
      <w:r w:rsidR="005C051E">
        <w:t xml:space="preserve"> an independent USDA rate study and an independent audit of our water production costs. O</w:t>
      </w:r>
      <w:r>
        <w:t xml:space="preserve">ur cost to produce the high quality water that is distributed </w:t>
      </w:r>
      <w:r w:rsidR="00265005">
        <w:t xml:space="preserve">to </w:t>
      </w:r>
      <w:r w:rsidR="00554AAA">
        <w:t xml:space="preserve">our </w:t>
      </w:r>
      <w:r w:rsidR="00265005">
        <w:t>members</w:t>
      </w:r>
      <w:r w:rsidR="00BD0669">
        <w:t xml:space="preserve"> is</w:t>
      </w:r>
      <w:r w:rsidR="00265005">
        <w:t xml:space="preserve"> </w:t>
      </w:r>
      <w:r>
        <w:t xml:space="preserve">$5.97 per 1000 gallons. Our previous non-conservation rates </w:t>
      </w:r>
      <w:r w:rsidR="00265005">
        <w:t>of $3.40 - $5.00 did not cover those costs.</w:t>
      </w:r>
      <w:r w:rsidR="005C051E">
        <w:t xml:space="preserve"> </w:t>
      </w:r>
      <w:r w:rsidR="00265005">
        <w:t>The rate increase will be phased in over a two year period</w:t>
      </w:r>
      <w:r w:rsidR="00D06A7F">
        <w:t xml:space="preserve"> as shown</w:t>
      </w:r>
      <w:r w:rsidR="00265005">
        <w:t xml:space="preserve"> below in the rate chart. </w:t>
      </w:r>
      <w:bookmarkStart w:id="0" w:name="_GoBack"/>
      <w:bookmarkEnd w:id="0"/>
      <w:r w:rsidR="00A71801">
        <w:t>We have included a graph that shows how our water rates compare to th</w:t>
      </w:r>
      <w:r w:rsidR="00353C59">
        <w:t>e Cities of Edmond and Guthrie. As you can see the water district is doing an excellent</w:t>
      </w:r>
      <w:r w:rsidR="00BD0669">
        <w:t xml:space="preserve"> job</w:t>
      </w:r>
      <w:r w:rsidR="00353C59">
        <w:t xml:space="preserve"> </w:t>
      </w:r>
      <w:r w:rsidR="00554AAA">
        <w:t>in keeping costs down as we are right in line with our neighbors</w:t>
      </w:r>
      <w:r w:rsidR="00353C59">
        <w:t>.</w:t>
      </w:r>
      <w:r w:rsidR="00554AAA">
        <w:t xml:space="preserve"> As always, if you have questions or concerns, we welcome you to attend one of our monthly water board meetings.  </w:t>
      </w:r>
      <w:r w:rsidR="00353C59">
        <w:t xml:space="preserve"> </w:t>
      </w:r>
    </w:p>
    <w:p w:rsidR="00A71801" w:rsidRDefault="00353C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91B89" wp14:editId="3A321363">
                <wp:simplePos x="0" y="0"/>
                <wp:positionH relativeFrom="margin">
                  <wp:posOffset>2351509</wp:posOffset>
                </wp:positionH>
                <wp:positionV relativeFrom="paragraph">
                  <wp:posOffset>351781</wp:posOffset>
                </wp:positionV>
                <wp:extent cx="5943600" cy="334962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4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C59" w:rsidRPr="00353C59" w:rsidRDefault="00586FA7" w:rsidP="00353C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Water Conservation</w:t>
                            </w:r>
                            <w:r w:rsidR="00353C59" w:rsidRPr="00353C59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Rate Increase</w:t>
                            </w:r>
                            <w:r w:rsidR="00353C59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353C59" w:rsidRPr="00353C59" w:rsidRDefault="00353C59" w:rsidP="00353C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C59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20,000 &amp;</w:t>
                            </w:r>
                            <w:r w:rsidRPr="00353C59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40,000 Gallons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15pt;margin-top:27.7pt;width:468pt;height:263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" filled="f" stroked="f">
                <v:textbox style="mso-fit-shape-to-text:t">
                  <w:txbxContent>
                    <w:p w:rsidR="00353C59" w:rsidRPr="00353C59" w:rsidRDefault="00586FA7" w:rsidP="00353C5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Water Conservation</w:t>
                      </w:r>
                      <w:r w:rsidR="00353C59" w:rsidRPr="00353C59"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Rate Increase</w:t>
                      </w:r>
                      <w:r w:rsidR="00353C59"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353C59" w:rsidRPr="00353C59" w:rsidRDefault="00353C59" w:rsidP="00353C5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C59"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r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20,000 &amp;</w:t>
                      </w:r>
                      <w:r w:rsidRPr="00353C59">
                        <w:rPr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40,000 Gallons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4E604" wp14:editId="2719009F">
                <wp:simplePos x="0" y="0"/>
                <wp:positionH relativeFrom="column">
                  <wp:posOffset>2520135</wp:posOffset>
                </wp:positionH>
                <wp:positionV relativeFrom="paragraph">
                  <wp:posOffset>687440</wp:posOffset>
                </wp:positionV>
                <wp:extent cx="20472" cy="2108579"/>
                <wp:effectExtent l="0" t="0" r="3683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" cy="210857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54.15pt" to="200.0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" strokecolor="#c00000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3677749</wp:posOffset>
                </wp:positionH>
                <wp:positionV relativeFrom="paragraph">
                  <wp:posOffset>685165</wp:posOffset>
                </wp:positionV>
                <wp:extent cx="20472" cy="2108579"/>
                <wp:effectExtent l="0" t="0" r="368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" cy="210857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pt,53.95pt" to="291.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" strokecolor="#c00000" strokeweight="1.5pt">
                <v:stroke dashstyle="1 1" joinstyle="miter"/>
              </v:line>
            </w:pict>
          </mc:Fallback>
        </mc:AlternateContent>
      </w:r>
      <w:r w:rsidR="00A71801">
        <w:rPr>
          <w:noProof/>
        </w:rPr>
        <w:drawing>
          <wp:inline distT="0" distB="0" distL="0" distR="0" wp14:anchorId="7CF89A2A" wp14:editId="5E188DDA">
            <wp:extent cx="5943600" cy="3349625"/>
            <wp:effectExtent l="0" t="0" r="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1927"/>
        <w:gridCol w:w="4003"/>
        <w:gridCol w:w="1042"/>
        <w:gridCol w:w="1271"/>
        <w:gridCol w:w="1355"/>
      </w:tblGrid>
      <w:tr w:rsidR="00D06A7F" w:rsidRPr="00D06A7F" w:rsidTr="00554AAA">
        <w:trPr>
          <w:trHeight w:val="4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Tier (gal.):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Previous   Rate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2017-2018 Rate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2018-2019 Rate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 xml:space="preserve">0-1,000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$15.00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Next 1,000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$3.40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$4.40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$5.40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Next 1,000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$3.45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$4.45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$5.45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Next 1,000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$3.50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$5.50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Next 1,000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$3.55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$4.55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$5.55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6,000 - 10,999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 Per Thousand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$3.60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$4.60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$5.60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11,000 - 24,999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 Per Thousand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586FA7" w:rsidP="004F5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$5.5</w:t>
            </w:r>
            <w:r w:rsidR="004F545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5C0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$6.</w:t>
            </w:r>
            <w:r w:rsidR="00586FA7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06A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25,000 - 39,999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 Per Thousand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</w:tr>
      <w:tr w:rsidR="00D06A7F" w:rsidRPr="00D06A7F" w:rsidTr="00554AAA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40,000 +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Add Per Thousand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7F" w:rsidRPr="00D06A7F" w:rsidRDefault="00D06A7F" w:rsidP="00D06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6A7F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</w:tr>
    </w:tbl>
    <w:p w:rsidR="00D06A7F" w:rsidRDefault="00D06A7F"/>
    <w:p w:rsidR="00D06A7F" w:rsidRDefault="00D06A7F">
      <w:r>
        <w:t xml:space="preserve">Sincerely, </w:t>
      </w:r>
    </w:p>
    <w:p w:rsidR="00D06A7F" w:rsidRDefault="00554AAA">
      <w:r>
        <w:t>The Board of Directors,</w:t>
      </w:r>
    </w:p>
    <w:sectPr w:rsidR="00D0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A"/>
    <w:rsid w:val="00265005"/>
    <w:rsid w:val="0029410C"/>
    <w:rsid w:val="00353C59"/>
    <w:rsid w:val="00394B5B"/>
    <w:rsid w:val="004F545A"/>
    <w:rsid w:val="00554AAA"/>
    <w:rsid w:val="00586FA7"/>
    <w:rsid w:val="005C051E"/>
    <w:rsid w:val="005E11C6"/>
    <w:rsid w:val="00A71801"/>
    <w:rsid w:val="00AD031A"/>
    <w:rsid w:val="00BD0669"/>
    <w:rsid w:val="00D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Water Rate Comparison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Edmond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Sheet1!$G$2:$G$61</c:f>
              <c:numCache>
                <c:formatCode>General</c:formatCode>
                <c:ptCount val="6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</c:numCache>
            </c:numRef>
          </c:xVal>
          <c:yVal>
            <c:numRef>
              <c:f>Sheet1!$H$2:$H$61</c:f>
              <c:numCache>
                <c:formatCode>"$"#,##0.00</c:formatCode>
                <c:ptCount val="60"/>
                <c:pt idx="0">
                  <c:v>7.1</c:v>
                </c:pt>
                <c:pt idx="1">
                  <c:v>12.92</c:v>
                </c:pt>
                <c:pt idx="2">
                  <c:v>18.740000000000002</c:v>
                </c:pt>
                <c:pt idx="3">
                  <c:v>24.560000000000002</c:v>
                </c:pt>
                <c:pt idx="4">
                  <c:v>30.380000000000003</c:v>
                </c:pt>
                <c:pt idx="5">
                  <c:v>36.200000000000003</c:v>
                </c:pt>
                <c:pt idx="6">
                  <c:v>42.02</c:v>
                </c:pt>
                <c:pt idx="7">
                  <c:v>47.84</c:v>
                </c:pt>
                <c:pt idx="8">
                  <c:v>53.660000000000004</c:v>
                </c:pt>
                <c:pt idx="9">
                  <c:v>59.480000000000004</c:v>
                </c:pt>
                <c:pt idx="10">
                  <c:v>66.300000000000011</c:v>
                </c:pt>
                <c:pt idx="11">
                  <c:v>73.12</c:v>
                </c:pt>
                <c:pt idx="12">
                  <c:v>79.94</c:v>
                </c:pt>
                <c:pt idx="13">
                  <c:v>86.759999999999991</c:v>
                </c:pt>
                <c:pt idx="14">
                  <c:v>93.579999999999984</c:v>
                </c:pt>
                <c:pt idx="15">
                  <c:v>100.39999999999998</c:v>
                </c:pt>
                <c:pt idx="16">
                  <c:v>107.21999999999997</c:v>
                </c:pt>
                <c:pt idx="17">
                  <c:v>114.03999999999996</c:v>
                </c:pt>
                <c:pt idx="18">
                  <c:v>120.85999999999996</c:v>
                </c:pt>
                <c:pt idx="19">
                  <c:v>127.67999999999995</c:v>
                </c:pt>
                <c:pt idx="20">
                  <c:v>136.19999999999996</c:v>
                </c:pt>
                <c:pt idx="21">
                  <c:v>144.71999999999997</c:v>
                </c:pt>
                <c:pt idx="22">
                  <c:v>153.23999999999998</c:v>
                </c:pt>
                <c:pt idx="23">
                  <c:v>161.76</c:v>
                </c:pt>
                <c:pt idx="24">
                  <c:v>170.28</c:v>
                </c:pt>
                <c:pt idx="25">
                  <c:v>178.8</c:v>
                </c:pt>
                <c:pt idx="26">
                  <c:v>187.32000000000002</c:v>
                </c:pt>
                <c:pt idx="27">
                  <c:v>195.84000000000003</c:v>
                </c:pt>
                <c:pt idx="28">
                  <c:v>204.36000000000004</c:v>
                </c:pt>
                <c:pt idx="29">
                  <c:v>212.88000000000005</c:v>
                </c:pt>
                <c:pt idx="30">
                  <c:v>221.40000000000006</c:v>
                </c:pt>
                <c:pt idx="31">
                  <c:v>229.92000000000007</c:v>
                </c:pt>
                <c:pt idx="32">
                  <c:v>238.44000000000008</c:v>
                </c:pt>
                <c:pt idx="33">
                  <c:v>246.96000000000009</c:v>
                </c:pt>
                <c:pt idx="34">
                  <c:v>255.4800000000001</c:v>
                </c:pt>
                <c:pt idx="35">
                  <c:v>264.00000000000011</c:v>
                </c:pt>
                <c:pt idx="36">
                  <c:v>272.5200000000001</c:v>
                </c:pt>
                <c:pt idx="37">
                  <c:v>281.04000000000008</c:v>
                </c:pt>
                <c:pt idx="38">
                  <c:v>289.56000000000006</c:v>
                </c:pt>
                <c:pt idx="39">
                  <c:v>298.08000000000004</c:v>
                </c:pt>
                <c:pt idx="40">
                  <c:v>306.60000000000002</c:v>
                </c:pt>
                <c:pt idx="41">
                  <c:v>315.12</c:v>
                </c:pt>
                <c:pt idx="42">
                  <c:v>323.64</c:v>
                </c:pt>
                <c:pt idx="43">
                  <c:v>332.15999999999997</c:v>
                </c:pt>
                <c:pt idx="44">
                  <c:v>340.67999999999995</c:v>
                </c:pt>
                <c:pt idx="45">
                  <c:v>349.19999999999993</c:v>
                </c:pt>
                <c:pt idx="46">
                  <c:v>357.71999999999991</c:v>
                </c:pt>
                <c:pt idx="47">
                  <c:v>366.2399999999999</c:v>
                </c:pt>
                <c:pt idx="48">
                  <c:v>374.75999999999988</c:v>
                </c:pt>
                <c:pt idx="49">
                  <c:v>383.27999999999986</c:v>
                </c:pt>
                <c:pt idx="50">
                  <c:v>391.79999999999984</c:v>
                </c:pt>
                <c:pt idx="51">
                  <c:v>400.31999999999982</c:v>
                </c:pt>
                <c:pt idx="52">
                  <c:v>408.8399999999998</c:v>
                </c:pt>
                <c:pt idx="53">
                  <c:v>417.35999999999979</c:v>
                </c:pt>
                <c:pt idx="54">
                  <c:v>425.87999999999977</c:v>
                </c:pt>
                <c:pt idx="55">
                  <c:v>434.39999999999975</c:v>
                </c:pt>
                <c:pt idx="56">
                  <c:v>442.91999999999973</c:v>
                </c:pt>
                <c:pt idx="57">
                  <c:v>451.43999999999971</c:v>
                </c:pt>
                <c:pt idx="58">
                  <c:v>459.9599999999997</c:v>
                </c:pt>
                <c:pt idx="59">
                  <c:v>468.47999999999968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Sheet1!$I$1</c:f>
              <c:strCache>
                <c:ptCount val="1"/>
                <c:pt idx="0">
                  <c:v>Guthrie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Sheet1!$G$2:$G$61</c:f>
              <c:numCache>
                <c:formatCode>General</c:formatCode>
                <c:ptCount val="6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</c:numCache>
            </c:numRef>
          </c:xVal>
          <c:yVal>
            <c:numRef>
              <c:f>Sheet1!$I$2:$I$61</c:f>
              <c:numCache>
                <c:formatCode>"$"#,##0.00</c:formatCode>
                <c:ptCount val="60"/>
                <c:pt idx="0">
                  <c:v>0</c:v>
                </c:pt>
                <c:pt idx="1">
                  <c:v>14.62</c:v>
                </c:pt>
                <c:pt idx="2">
                  <c:v>21.049999999999997</c:v>
                </c:pt>
                <c:pt idx="3">
                  <c:v>27.479999999999997</c:v>
                </c:pt>
                <c:pt idx="4">
                  <c:v>33.909999999999997</c:v>
                </c:pt>
                <c:pt idx="5">
                  <c:v>41.269999999999996</c:v>
                </c:pt>
                <c:pt idx="6">
                  <c:v>48.629999999999995</c:v>
                </c:pt>
                <c:pt idx="7">
                  <c:v>55.989999999999995</c:v>
                </c:pt>
                <c:pt idx="8">
                  <c:v>63.349999999999994</c:v>
                </c:pt>
                <c:pt idx="9">
                  <c:v>72.089999999999989</c:v>
                </c:pt>
                <c:pt idx="10">
                  <c:v>80.829999999999984</c:v>
                </c:pt>
                <c:pt idx="11">
                  <c:v>89.569999999999979</c:v>
                </c:pt>
                <c:pt idx="12">
                  <c:v>98.309999999999974</c:v>
                </c:pt>
                <c:pt idx="13">
                  <c:v>107.04999999999997</c:v>
                </c:pt>
                <c:pt idx="14">
                  <c:v>115.78999999999996</c:v>
                </c:pt>
                <c:pt idx="15">
                  <c:v>124.52999999999996</c:v>
                </c:pt>
                <c:pt idx="16">
                  <c:v>133.26999999999995</c:v>
                </c:pt>
                <c:pt idx="17">
                  <c:v>142.00999999999996</c:v>
                </c:pt>
                <c:pt idx="18">
                  <c:v>150.74999999999997</c:v>
                </c:pt>
                <c:pt idx="19">
                  <c:v>160.82999999999998</c:v>
                </c:pt>
                <c:pt idx="20">
                  <c:v>170.91</c:v>
                </c:pt>
                <c:pt idx="21">
                  <c:v>180.99</c:v>
                </c:pt>
                <c:pt idx="22">
                  <c:v>191.07000000000002</c:v>
                </c:pt>
                <c:pt idx="23">
                  <c:v>201.15000000000003</c:v>
                </c:pt>
                <c:pt idx="24">
                  <c:v>211.23000000000005</c:v>
                </c:pt>
                <c:pt idx="25">
                  <c:v>221.31000000000006</c:v>
                </c:pt>
                <c:pt idx="26">
                  <c:v>231.39000000000007</c:v>
                </c:pt>
                <c:pt idx="27">
                  <c:v>241.47000000000008</c:v>
                </c:pt>
                <c:pt idx="28">
                  <c:v>251.5500000000001</c:v>
                </c:pt>
                <c:pt idx="29">
                  <c:v>261.63000000000011</c:v>
                </c:pt>
                <c:pt idx="30">
                  <c:v>271.71000000000009</c:v>
                </c:pt>
                <c:pt idx="31">
                  <c:v>281.79000000000008</c:v>
                </c:pt>
                <c:pt idx="32">
                  <c:v>291.87000000000006</c:v>
                </c:pt>
                <c:pt idx="33">
                  <c:v>301.95000000000005</c:v>
                </c:pt>
                <c:pt idx="34">
                  <c:v>312.03000000000003</c:v>
                </c:pt>
                <c:pt idx="35">
                  <c:v>322.11</c:v>
                </c:pt>
                <c:pt idx="36">
                  <c:v>332.19</c:v>
                </c:pt>
                <c:pt idx="37">
                  <c:v>342.27</c:v>
                </c:pt>
                <c:pt idx="38">
                  <c:v>352.34999999999997</c:v>
                </c:pt>
                <c:pt idx="39">
                  <c:v>362.42999999999995</c:v>
                </c:pt>
                <c:pt idx="40">
                  <c:v>372.50999999999993</c:v>
                </c:pt>
                <c:pt idx="41">
                  <c:v>382.58999999999992</c:v>
                </c:pt>
                <c:pt idx="42">
                  <c:v>392.6699999999999</c:v>
                </c:pt>
                <c:pt idx="43">
                  <c:v>402.74999999999989</c:v>
                </c:pt>
                <c:pt idx="44">
                  <c:v>412.82999999999987</c:v>
                </c:pt>
                <c:pt idx="45">
                  <c:v>422.90999999999985</c:v>
                </c:pt>
                <c:pt idx="46">
                  <c:v>432.98999999999984</c:v>
                </c:pt>
                <c:pt idx="47">
                  <c:v>443.06999999999982</c:v>
                </c:pt>
                <c:pt idx="48">
                  <c:v>453.14999999999981</c:v>
                </c:pt>
                <c:pt idx="49">
                  <c:v>463.22999999999979</c:v>
                </c:pt>
                <c:pt idx="50">
                  <c:v>473.30999999999977</c:v>
                </c:pt>
                <c:pt idx="51">
                  <c:v>483.38999999999976</c:v>
                </c:pt>
                <c:pt idx="52">
                  <c:v>493.46999999999974</c:v>
                </c:pt>
                <c:pt idx="53">
                  <c:v>503.54999999999973</c:v>
                </c:pt>
                <c:pt idx="54">
                  <c:v>513.62999999999977</c:v>
                </c:pt>
                <c:pt idx="55">
                  <c:v>523.70999999999981</c:v>
                </c:pt>
                <c:pt idx="56">
                  <c:v>533.78999999999985</c:v>
                </c:pt>
                <c:pt idx="57">
                  <c:v>543.86999999999989</c:v>
                </c:pt>
                <c:pt idx="58">
                  <c:v>553.94999999999993</c:v>
                </c:pt>
                <c:pt idx="59">
                  <c:v>564.03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Sheet1!$J$1</c:f>
              <c:strCache>
                <c:ptCount val="1"/>
                <c:pt idx="0">
                  <c:v>LCRW1 Phase 1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Sheet1!$G$2:$G$61</c:f>
              <c:numCache>
                <c:formatCode>General</c:formatCode>
                <c:ptCount val="6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</c:numCache>
            </c:numRef>
          </c:xVal>
          <c:yVal>
            <c:numRef>
              <c:f>Sheet1!$J$2:$J$61</c:f>
              <c:numCache>
                <c:formatCode>"$"#,##0.00</c:formatCode>
                <c:ptCount val="60"/>
                <c:pt idx="0">
                  <c:v>14</c:v>
                </c:pt>
                <c:pt idx="1">
                  <c:v>18.399999999999999</c:v>
                </c:pt>
                <c:pt idx="2">
                  <c:v>22.849999999999998</c:v>
                </c:pt>
                <c:pt idx="3">
                  <c:v>27.349999999999998</c:v>
                </c:pt>
                <c:pt idx="4">
                  <c:v>31.9</c:v>
                </c:pt>
                <c:pt idx="5">
                  <c:v>36.5</c:v>
                </c:pt>
                <c:pt idx="6">
                  <c:v>41.1</c:v>
                </c:pt>
                <c:pt idx="7">
                  <c:v>45.7</c:v>
                </c:pt>
                <c:pt idx="8">
                  <c:v>50.300000000000004</c:v>
                </c:pt>
                <c:pt idx="9">
                  <c:v>54.900000000000006</c:v>
                </c:pt>
                <c:pt idx="10">
                  <c:v>60.500000000000007</c:v>
                </c:pt>
                <c:pt idx="11">
                  <c:v>66.100000000000009</c:v>
                </c:pt>
                <c:pt idx="12">
                  <c:v>71.7</c:v>
                </c:pt>
                <c:pt idx="13">
                  <c:v>77.3</c:v>
                </c:pt>
                <c:pt idx="14">
                  <c:v>82.899999999999991</c:v>
                </c:pt>
                <c:pt idx="15">
                  <c:v>88.499999999999986</c:v>
                </c:pt>
                <c:pt idx="16">
                  <c:v>94.09999999999998</c:v>
                </c:pt>
                <c:pt idx="17">
                  <c:v>99.699999999999974</c:v>
                </c:pt>
                <c:pt idx="18">
                  <c:v>105.29999999999997</c:v>
                </c:pt>
                <c:pt idx="19">
                  <c:v>110.89999999999996</c:v>
                </c:pt>
                <c:pt idx="20">
                  <c:v>116.49999999999996</c:v>
                </c:pt>
                <c:pt idx="21">
                  <c:v>122.09999999999995</c:v>
                </c:pt>
                <c:pt idx="22">
                  <c:v>127.69999999999995</c:v>
                </c:pt>
                <c:pt idx="23">
                  <c:v>133.29999999999995</c:v>
                </c:pt>
                <c:pt idx="24">
                  <c:v>143.29999999999995</c:v>
                </c:pt>
                <c:pt idx="25">
                  <c:v>153.29999999999995</c:v>
                </c:pt>
                <c:pt idx="26">
                  <c:v>163.29999999999995</c:v>
                </c:pt>
                <c:pt idx="27">
                  <c:v>173.29999999999995</c:v>
                </c:pt>
                <c:pt idx="28">
                  <c:v>183.29999999999995</c:v>
                </c:pt>
                <c:pt idx="29">
                  <c:v>193.29999999999995</c:v>
                </c:pt>
                <c:pt idx="30">
                  <c:v>203.29999999999995</c:v>
                </c:pt>
                <c:pt idx="31">
                  <c:v>213.29999999999995</c:v>
                </c:pt>
                <c:pt idx="32">
                  <c:v>223.29999999999995</c:v>
                </c:pt>
                <c:pt idx="33">
                  <c:v>233.29999999999995</c:v>
                </c:pt>
                <c:pt idx="34">
                  <c:v>243.29999999999995</c:v>
                </c:pt>
                <c:pt idx="35">
                  <c:v>253.29999999999995</c:v>
                </c:pt>
                <c:pt idx="36">
                  <c:v>263.29999999999995</c:v>
                </c:pt>
                <c:pt idx="37">
                  <c:v>273.29999999999995</c:v>
                </c:pt>
                <c:pt idx="38">
                  <c:v>283.29999999999995</c:v>
                </c:pt>
                <c:pt idx="39">
                  <c:v>303.29999999999995</c:v>
                </c:pt>
                <c:pt idx="40">
                  <c:v>323.29999999999995</c:v>
                </c:pt>
                <c:pt idx="41">
                  <c:v>343.29999999999995</c:v>
                </c:pt>
                <c:pt idx="42">
                  <c:v>363.29999999999995</c:v>
                </c:pt>
                <c:pt idx="43">
                  <c:v>383.29999999999995</c:v>
                </c:pt>
                <c:pt idx="44">
                  <c:v>403.29999999999995</c:v>
                </c:pt>
                <c:pt idx="45">
                  <c:v>423.29999999999995</c:v>
                </c:pt>
                <c:pt idx="46">
                  <c:v>443.29999999999995</c:v>
                </c:pt>
                <c:pt idx="47">
                  <c:v>463.29999999999995</c:v>
                </c:pt>
                <c:pt idx="48">
                  <c:v>483.29999999999995</c:v>
                </c:pt>
                <c:pt idx="49">
                  <c:v>503.29999999999995</c:v>
                </c:pt>
                <c:pt idx="50">
                  <c:v>523.29999999999995</c:v>
                </c:pt>
                <c:pt idx="51">
                  <c:v>543.29999999999995</c:v>
                </c:pt>
                <c:pt idx="52">
                  <c:v>563.29999999999995</c:v>
                </c:pt>
                <c:pt idx="53">
                  <c:v>583.29999999999995</c:v>
                </c:pt>
                <c:pt idx="54">
                  <c:v>603.29999999999995</c:v>
                </c:pt>
                <c:pt idx="55">
                  <c:v>623.29999999999995</c:v>
                </c:pt>
                <c:pt idx="56">
                  <c:v>643.29999999999995</c:v>
                </c:pt>
                <c:pt idx="57">
                  <c:v>663.3</c:v>
                </c:pt>
                <c:pt idx="58">
                  <c:v>683.3</c:v>
                </c:pt>
                <c:pt idx="59">
                  <c:v>703.3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Sheet1!$K$1</c:f>
              <c:strCache>
                <c:ptCount val="1"/>
                <c:pt idx="0">
                  <c:v>LCRW1 Phase 2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Sheet1!$G$2:$G$61</c:f>
              <c:numCache>
                <c:formatCode>General</c:formatCode>
                <c:ptCount val="6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</c:numCache>
            </c:numRef>
          </c:xVal>
          <c:yVal>
            <c:numRef>
              <c:f>Sheet1!$K$2:$K$61</c:f>
              <c:numCache>
                <c:formatCode>"$"#,##0.00</c:formatCode>
                <c:ptCount val="60"/>
                <c:pt idx="0">
                  <c:v>15</c:v>
                </c:pt>
                <c:pt idx="1">
                  <c:v>20.399999999999999</c:v>
                </c:pt>
                <c:pt idx="2">
                  <c:v>25.849999999999998</c:v>
                </c:pt>
                <c:pt idx="3">
                  <c:v>31.349999999999998</c:v>
                </c:pt>
                <c:pt idx="4">
                  <c:v>36.9</c:v>
                </c:pt>
                <c:pt idx="5">
                  <c:v>42.5</c:v>
                </c:pt>
                <c:pt idx="6">
                  <c:v>48.1</c:v>
                </c:pt>
                <c:pt idx="7">
                  <c:v>53.7</c:v>
                </c:pt>
                <c:pt idx="8">
                  <c:v>59.300000000000004</c:v>
                </c:pt>
                <c:pt idx="9">
                  <c:v>64.900000000000006</c:v>
                </c:pt>
                <c:pt idx="10">
                  <c:v>71.5</c:v>
                </c:pt>
                <c:pt idx="11">
                  <c:v>78.099999999999994</c:v>
                </c:pt>
                <c:pt idx="12">
                  <c:v>84.699999999999989</c:v>
                </c:pt>
                <c:pt idx="13">
                  <c:v>91.299999999999983</c:v>
                </c:pt>
                <c:pt idx="14">
                  <c:v>97.899999999999977</c:v>
                </c:pt>
                <c:pt idx="15">
                  <c:v>104.49999999999997</c:v>
                </c:pt>
                <c:pt idx="16">
                  <c:v>111.09999999999997</c:v>
                </c:pt>
                <c:pt idx="17">
                  <c:v>117.69999999999996</c:v>
                </c:pt>
                <c:pt idx="18">
                  <c:v>124.29999999999995</c:v>
                </c:pt>
                <c:pt idx="19">
                  <c:v>130.89999999999995</c:v>
                </c:pt>
                <c:pt idx="20">
                  <c:v>137.49999999999994</c:v>
                </c:pt>
                <c:pt idx="21">
                  <c:v>144.09999999999994</c:v>
                </c:pt>
                <c:pt idx="22">
                  <c:v>150.69999999999993</c:v>
                </c:pt>
                <c:pt idx="23">
                  <c:v>157.29999999999993</c:v>
                </c:pt>
                <c:pt idx="24">
                  <c:v>167.29999999999993</c:v>
                </c:pt>
                <c:pt idx="25">
                  <c:v>177.29999999999993</c:v>
                </c:pt>
                <c:pt idx="26">
                  <c:v>187.29999999999993</c:v>
                </c:pt>
                <c:pt idx="27">
                  <c:v>197.29999999999993</c:v>
                </c:pt>
                <c:pt idx="28">
                  <c:v>207.29999999999993</c:v>
                </c:pt>
                <c:pt idx="29">
                  <c:v>217.29999999999993</c:v>
                </c:pt>
                <c:pt idx="30">
                  <c:v>227.29999999999993</c:v>
                </c:pt>
                <c:pt idx="31">
                  <c:v>237.29999999999993</c:v>
                </c:pt>
                <c:pt idx="32">
                  <c:v>247.29999999999993</c:v>
                </c:pt>
                <c:pt idx="33">
                  <c:v>257.29999999999995</c:v>
                </c:pt>
                <c:pt idx="34">
                  <c:v>267.29999999999995</c:v>
                </c:pt>
                <c:pt idx="35">
                  <c:v>277.29999999999995</c:v>
                </c:pt>
                <c:pt idx="36">
                  <c:v>287.29999999999995</c:v>
                </c:pt>
                <c:pt idx="37">
                  <c:v>297.29999999999995</c:v>
                </c:pt>
                <c:pt idx="38">
                  <c:v>307.29999999999995</c:v>
                </c:pt>
                <c:pt idx="39">
                  <c:v>327.29999999999995</c:v>
                </c:pt>
                <c:pt idx="40">
                  <c:v>347.29999999999995</c:v>
                </c:pt>
                <c:pt idx="41">
                  <c:v>367.29999999999995</c:v>
                </c:pt>
                <c:pt idx="42">
                  <c:v>387.29999999999995</c:v>
                </c:pt>
                <c:pt idx="43">
                  <c:v>407.29999999999995</c:v>
                </c:pt>
                <c:pt idx="44">
                  <c:v>427.29999999999995</c:v>
                </c:pt>
                <c:pt idx="45">
                  <c:v>447.29999999999995</c:v>
                </c:pt>
                <c:pt idx="46">
                  <c:v>467.29999999999995</c:v>
                </c:pt>
                <c:pt idx="47">
                  <c:v>487.29999999999995</c:v>
                </c:pt>
                <c:pt idx="48">
                  <c:v>507.29999999999995</c:v>
                </c:pt>
                <c:pt idx="49">
                  <c:v>527.29999999999995</c:v>
                </c:pt>
                <c:pt idx="50">
                  <c:v>547.29999999999995</c:v>
                </c:pt>
                <c:pt idx="51">
                  <c:v>567.29999999999995</c:v>
                </c:pt>
                <c:pt idx="52">
                  <c:v>587.29999999999995</c:v>
                </c:pt>
                <c:pt idx="53">
                  <c:v>607.29999999999995</c:v>
                </c:pt>
                <c:pt idx="54">
                  <c:v>627.29999999999995</c:v>
                </c:pt>
                <c:pt idx="55">
                  <c:v>647.29999999999995</c:v>
                </c:pt>
                <c:pt idx="56">
                  <c:v>667.3</c:v>
                </c:pt>
                <c:pt idx="57">
                  <c:v>687.3</c:v>
                </c:pt>
                <c:pt idx="58">
                  <c:v>707.3</c:v>
                </c:pt>
                <c:pt idx="59">
                  <c:v>727.3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60128"/>
        <c:axId val="42162048"/>
      </c:scatterChart>
      <c:valAx>
        <c:axId val="42160128"/>
        <c:scaling>
          <c:orientation val="minMax"/>
          <c:max val="50000"/>
          <c:min val="2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Gallons Used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62048"/>
        <c:crosses val="autoZero"/>
        <c:crossBetween val="midCat"/>
      </c:valAx>
      <c:valAx>
        <c:axId val="42162048"/>
        <c:scaling>
          <c:orientation val="minMax"/>
          <c:max val="5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Water Bill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&quot;$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601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Energy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Gustafson</dc:creator>
  <cp:lastModifiedBy>LOGAN</cp:lastModifiedBy>
  <cp:revision>2</cp:revision>
  <cp:lastPrinted>2017-07-26T21:05:00Z</cp:lastPrinted>
  <dcterms:created xsi:type="dcterms:W3CDTF">2017-07-27T15:18:00Z</dcterms:created>
  <dcterms:modified xsi:type="dcterms:W3CDTF">2017-07-27T15:18:00Z</dcterms:modified>
</cp:coreProperties>
</file>